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DAF84" w14:textId="77777777" w:rsidR="00BB0DF0" w:rsidRDefault="004A6358" w:rsidP="00795B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DOCUMENTOS NECESSÁRIOS PARA REGISTRO DE</w:t>
      </w:r>
    </w:p>
    <w:p w14:paraId="065251C4" w14:textId="29E093EA" w:rsidR="00795B67" w:rsidRPr="00BB0DF0" w:rsidRDefault="00795B67" w:rsidP="00795B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B0DF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INCORPORAÇ</w:t>
      </w:r>
      <w:r w:rsidR="00BB0DF0" w:rsidRPr="00BB0DF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ÃO </w:t>
      </w:r>
      <w:r w:rsidRPr="00BB0DF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IMOBILIÁRIA</w:t>
      </w:r>
    </w:p>
    <w:p w14:paraId="1F178F0B" w14:textId="279747CF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A9FB35" w14:textId="25C8B3C2" w:rsidR="00BB0DF0" w:rsidRDefault="00BB0DF0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documentação necessária a ser apresentada consta do a</w:t>
      </w:r>
      <w:r w:rsidR="00795B67" w:rsidRPr="00795B67">
        <w:rPr>
          <w:rFonts w:ascii="Times New Roman" w:hAnsi="Times New Roman" w:cs="Times New Roman"/>
          <w:color w:val="000000"/>
          <w:sz w:val="24"/>
          <w:szCs w:val="24"/>
        </w:rPr>
        <w:t>rt. 768</w:t>
      </w:r>
      <w:r w:rsidR="004A6358">
        <w:rPr>
          <w:rFonts w:ascii="Times New Roman" w:hAnsi="Times New Roman" w:cs="Times New Roman"/>
          <w:color w:val="000000"/>
          <w:sz w:val="24"/>
          <w:szCs w:val="24"/>
        </w:rPr>
        <w:t xml:space="preserve"> da CNNR/RS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combinado com o artigo 32 da Lei 4591/64,</w:t>
      </w:r>
      <w:r w:rsidR="00795B67"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saber:</w:t>
      </w:r>
    </w:p>
    <w:p w14:paraId="1417931F" w14:textId="77777777" w:rsidR="00BB0DF0" w:rsidRDefault="00BB0DF0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74D5E" w14:textId="1FA4E5FB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Para o registro de incorporação imobiliária, será necessária a apresentação do</w:t>
      </w:r>
      <w:r w:rsidR="004A6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memorial, acompanhado dos documentos previstos no artigo 32 da Lei nº 4.591/64:</w:t>
      </w:r>
    </w:p>
    <w:p w14:paraId="0FC00E15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I –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memorial e requerimento em que constem a qualificação completa do incorporador e do proprietário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, solicitando o registro da incorporação imobiliária, bem como a descrição do imóvel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conforme consta do Registro de Imóveis, indicando sua origem; a caracterização do prédio,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descrevendo o imóvel em linhas gerais; a caracterização das unidades autônomas (descrição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unitária); e a indicação das áreas de uso comum, observando-se o seguinte:</w:t>
      </w:r>
    </w:p>
    <w:p w14:paraId="626F0465" w14:textId="6EDB9C93" w:rsidR="00795B67" w:rsidRPr="00BB0DF0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>a) se os cônjuges forem os incorporadores do empreendimento, ambos deverão assinar o</w:t>
      </w:r>
      <w:r w:rsidR="00BB0DF0" w:rsidRPr="00BB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0DF0">
        <w:rPr>
          <w:rFonts w:ascii="Times New Roman" w:hAnsi="Times New Roman" w:cs="Times New Roman"/>
          <w:color w:val="000000"/>
          <w:sz w:val="24"/>
          <w:szCs w:val="24"/>
        </w:rPr>
        <w:t xml:space="preserve">requerimento; caso o incorporador seja apenas um deles, somente este assinará o requerimento, mas, neste caso, deverá apresentar o instrumento de mandato referido no art. 31, § 1º, c/c o art. 32 da Lei nº 4.591/64, outorgado pelo outro cônjuge. Igual exigência deverá ser observada em relação aos alienantes do terreno, se não forem, ao mesmo tempo, incorporadores; </w:t>
      </w:r>
    </w:p>
    <w:p w14:paraId="580884E9" w14:textId="77777777" w:rsidR="00795B67" w:rsidRPr="00BB0DF0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 xml:space="preserve">b) se pessoa jurídica, o requerimento deverá estar instruído com o contrato social (ou cópia reprográfica autenticada) devidamente registrado (Junta Comercial, Industrial e Serviços, Registro Civil das Pessoas Jurídicas ou outro órgão competente), juntamente com certidão atualizada dos atos constitutivos, devendo este fato estar devidamente comprovado. Pelo ato constitutivo, se verificará a capacidade do(s) </w:t>
      </w:r>
      <w:proofErr w:type="spellStart"/>
      <w:r w:rsidRPr="00BB0DF0">
        <w:rPr>
          <w:rFonts w:ascii="Times New Roman" w:hAnsi="Times New Roman" w:cs="Times New Roman"/>
          <w:color w:val="000000"/>
          <w:sz w:val="24"/>
          <w:szCs w:val="24"/>
        </w:rPr>
        <w:t>firmatário</w:t>
      </w:r>
      <w:proofErr w:type="spellEnd"/>
      <w:r w:rsidRPr="00BB0DF0">
        <w:rPr>
          <w:rFonts w:ascii="Times New Roman" w:hAnsi="Times New Roman" w:cs="Times New Roman"/>
          <w:color w:val="000000"/>
          <w:sz w:val="24"/>
          <w:szCs w:val="24"/>
        </w:rPr>
        <w:t>(s) do requerimento;</w:t>
      </w:r>
    </w:p>
    <w:p w14:paraId="59DFBFE6" w14:textId="77777777" w:rsidR="004A6358" w:rsidRPr="00795B67" w:rsidRDefault="004A6358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7D1D1EA" w14:textId="77777777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II – </w:t>
      </w:r>
      <w:proofErr w:type="gramStart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título</w:t>
      </w:r>
      <w:proofErr w:type="gramEnd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propriedade do terreno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, o qual poderá ser um título de promessa irrevogável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irretratável, de compra e venda ou de cessão de direitos ou de permuta, do qual conste cláusula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imissão na posse do imóvel, não podendo haver estipulações impeditivas de sua alienação 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frações ideais, como consentimento para demolição e construção, devidamente registrado (art. 32,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a, da Lei nº 4.591/64);</w:t>
      </w:r>
    </w:p>
    <w:p w14:paraId="476EE569" w14:textId="77777777" w:rsidR="004A6358" w:rsidRPr="00795B67" w:rsidRDefault="004A6358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3BA1A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III –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certidões negativas referentes ao imóvel, ao proprietário do terreno e ao incorporador</w:t>
      </w:r>
      <w:r w:rsidRPr="00795B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0E71978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4A6358">
        <w:rPr>
          <w:rFonts w:ascii="Times New Roman" w:hAnsi="Times New Roman" w:cs="Times New Roman"/>
          <w:color w:val="000000"/>
          <w:sz w:val="24"/>
          <w:szCs w:val="24"/>
          <w:u w:val="single"/>
        </w:rPr>
        <w:t>federais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(art. 32, b, da Lei nº 4.591/64):</w:t>
      </w:r>
    </w:p>
    <w:p w14:paraId="3CC8AF8A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1) de tributos federais administrados pela Receita Federal;</w:t>
      </w:r>
    </w:p>
    <w:p w14:paraId="7A031BA5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2) relativa à Justiça do Trabalho, se pessoa jurídica ou equiparada;</w:t>
      </w:r>
    </w:p>
    <w:p w14:paraId="64487E6D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3) da Justiça Federal (cível e criminal);</w:t>
      </w:r>
    </w:p>
    <w:p w14:paraId="4C27149B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da Procuradoria-Geral da Fazenda Nacional;</w:t>
      </w:r>
    </w:p>
    <w:p w14:paraId="124E6590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4A6358">
        <w:rPr>
          <w:rFonts w:ascii="Times New Roman" w:hAnsi="Times New Roman" w:cs="Times New Roman"/>
          <w:color w:val="000000"/>
          <w:sz w:val="24"/>
          <w:szCs w:val="24"/>
          <w:u w:val="single"/>
        </w:rPr>
        <w:t>estaduais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(art. 32, b, da Lei nº 4.591/64):</w:t>
      </w:r>
    </w:p>
    <w:p w14:paraId="649B0453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1) da Fazenda Estadual;</w:t>
      </w:r>
    </w:p>
    <w:p w14:paraId="2A01DB24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2) da Justiça Comum Estadual (cível e criminal);</w:t>
      </w:r>
    </w:p>
    <w:p w14:paraId="2440B8A4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4A6358">
        <w:rPr>
          <w:rFonts w:ascii="Times New Roman" w:hAnsi="Times New Roman" w:cs="Times New Roman"/>
          <w:color w:val="000000"/>
          <w:sz w:val="24"/>
          <w:szCs w:val="24"/>
          <w:u w:val="single"/>
        </w:rPr>
        <w:t>municipais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(art. 32, b, da Lei nº 4.591/64):</w:t>
      </w:r>
    </w:p>
    <w:p w14:paraId="61F826C5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1) relativa ao imóvel;</w:t>
      </w:r>
    </w:p>
    <w:p w14:paraId="07F44071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2) relativa a tributos diversos;</w:t>
      </w:r>
    </w:p>
    <w:p w14:paraId="4058DF9B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4A635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Certidão Negativa de Débito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- CND do INSS (art. 32, f, da Lei nº 4.591/64): do titular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direitos sobre o terreno e do incorporador, sempre que forem responsáveis pela arrecadação 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respectivas contribuições – pessoa jurídica ou equiparada;</w:t>
      </w:r>
    </w:p>
    <w:p w14:paraId="2C870BC3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4A6358">
        <w:rPr>
          <w:rFonts w:ascii="Times New Roman" w:hAnsi="Times New Roman" w:cs="Times New Roman"/>
          <w:color w:val="000000"/>
          <w:sz w:val="24"/>
          <w:szCs w:val="24"/>
          <w:u w:val="single"/>
        </w:rPr>
        <w:t>Registro de Imóveis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(art. 32, b e c, da Lei nº 4.591/64):</w:t>
      </w:r>
    </w:p>
    <w:p w14:paraId="53DAF222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1) negativa de ônus e ações;</w:t>
      </w:r>
    </w:p>
    <w:p w14:paraId="1187E855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2) integrantes do histórico </w:t>
      </w:r>
      <w:proofErr w:type="spellStart"/>
      <w:r w:rsidRPr="00795B67">
        <w:rPr>
          <w:rFonts w:ascii="Times New Roman" w:hAnsi="Times New Roman" w:cs="Times New Roman"/>
          <w:color w:val="000000"/>
          <w:sz w:val="24"/>
          <w:szCs w:val="24"/>
        </w:rPr>
        <w:t>vintenário</w:t>
      </w:r>
      <w:proofErr w:type="spellEnd"/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(item IV – infra);</w:t>
      </w:r>
    </w:p>
    <w:p w14:paraId="25E8C086" w14:textId="77777777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4A6358">
        <w:rPr>
          <w:rFonts w:ascii="Times New Roman" w:hAnsi="Times New Roman" w:cs="Times New Roman"/>
          <w:color w:val="000000"/>
          <w:sz w:val="24"/>
          <w:szCs w:val="24"/>
          <w:u w:val="single"/>
        </w:rPr>
        <w:t>Tabelionato de Protesto de Títulos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(art. 32, b, da Lei nº 4.591/64): negativa de protesto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títulos;</w:t>
      </w:r>
    </w:p>
    <w:p w14:paraId="6D2E9EA2" w14:textId="77777777" w:rsidR="004A6358" w:rsidRPr="00795B67" w:rsidRDefault="004A6358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89168" w14:textId="2300C787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IV – </w:t>
      </w:r>
      <w:proofErr w:type="gramStart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histórico</w:t>
      </w:r>
      <w:proofErr w:type="gramEnd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vintenário</w:t>
      </w:r>
      <w:proofErr w:type="spellEnd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dos títulos de propriedade do imóvel (art. 32, c, da Lei nº 4.591/64), abrangendo os últimos 20 (vinte) anos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, acompanhado de certidões integrais dos respectivos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registros (item III. 5. b – supra);</w:t>
      </w:r>
      <w:r w:rsidR="000F5FB5">
        <w:rPr>
          <w:rFonts w:ascii="Times New Roman" w:hAnsi="Times New Roman" w:cs="Times New Roman"/>
          <w:color w:val="000000"/>
          <w:sz w:val="24"/>
          <w:szCs w:val="24"/>
        </w:rPr>
        <w:t xml:space="preserve"> (Registro de Imóveis)</w:t>
      </w:r>
    </w:p>
    <w:p w14:paraId="023F13A2" w14:textId="77777777" w:rsidR="004A6358" w:rsidRPr="00795B67" w:rsidRDefault="004A6358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2C5D5" w14:textId="3A67344B" w:rsidR="00795B67" w:rsidRPr="00795B67" w:rsidRDefault="00795B67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V – </w:t>
      </w:r>
      <w:proofErr w:type="gramStart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projeto</w:t>
      </w:r>
      <w:proofErr w:type="gramEnd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arquitetônico de construção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devidamente aprovado pelas autoridades</w:t>
      </w:r>
      <w:r w:rsid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competentes e assinado pelo profissional responsável, juntamente com o proprietário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, contendo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seguinte (art. 32, d, da Lei nº 4.591/64,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 quadros I, II, III, IV, V, VI, VII e VIII da ABNT – NBR nº</w:t>
      </w:r>
      <w:r w:rsidR="004A6358"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12.721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2F0C8161" w14:textId="77777777" w:rsidR="00795B67" w:rsidRPr="00BB0DF0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>a) cálculo das áreas das edificações, discriminando, além da global, a das partes comuns e indicando, para cada tipo de unidade a respectiva metragem de área construída (art. 32, e, da Lei nº 4.591/64);</w:t>
      </w:r>
    </w:p>
    <w:p w14:paraId="0DCC299A" w14:textId="77777777" w:rsidR="00795B67" w:rsidRPr="00BB0DF0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>b) memorial descritivo das especificações da obra projetada, segundo modelo a que se refere o inc. IV do art. 53 da Lei nº 4.591/64. Este documento descreve todo o edifício, inclusive a área do terreno, subsolo, térreo, estacionamentos, pavimentos, fundações, tipo de material, acabamentos, acessos, dentre outros (art. 32, g, da Lei nº 4.591/64);</w:t>
      </w:r>
    </w:p>
    <w:p w14:paraId="6C64B7BC" w14:textId="77777777" w:rsidR="00795B67" w:rsidRPr="00BB0DF0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>c) avaliação do custo global da obra, atualizada à data do arquivamento, calculada de acordo com a norma do inc. III do art. 53 da Lei nº 4.591/64, com base nos custos unitários referidos no art. 54, discriminando-se, também, o custo de construção de cada unidade, devidamente</w:t>
      </w:r>
      <w:r w:rsidR="009511B0" w:rsidRPr="00BB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0DF0">
        <w:rPr>
          <w:rFonts w:ascii="Times New Roman" w:hAnsi="Times New Roman" w:cs="Times New Roman"/>
          <w:color w:val="000000"/>
          <w:sz w:val="24"/>
          <w:szCs w:val="24"/>
        </w:rPr>
        <w:t>autenticada pelo profissional responsável pela obra (art. 32, h, da Lei nº 4.591/64);</w:t>
      </w:r>
    </w:p>
    <w:p w14:paraId="6EE98960" w14:textId="77777777" w:rsidR="004A6358" w:rsidRPr="00795B67" w:rsidRDefault="004A6358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32846" w14:textId="607DB774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VI – </w:t>
      </w:r>
      <w:proofErr w:type="gramStart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discriminações</w:t>
      </w:r>
      <w:proofErr w:type="gramEnd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das frações ideais de terreno com as unidades autônomas que a elas</w:t>
      </w:r>
      <w:r w:rsid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corresponderão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(art. 32, i, da Lei nº 4.591/64);</w:t>
      </w:r>
    </w:p>
    <w:p w14:paraId="5A8CD959" w14:textId="77777777" w:rsidR="004A6358" w:rsidRPr="00795B67" w:rsidRDefault="004A6358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B15F4" w14:textId="77777777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VII –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minuta da futura convenção de condomínio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(art. 9º da Lei nº 4.591/64) que regerá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edificação ou o conjunto de edificações, contendo a individuação das unidades e a caracterização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das áreas de uso comum, além das normas gerais do condomínio (art. 32, j, da Lei nº 4.591/64);</w:t>
      </w:r>
    </w:p>
    <w:p w14:paraId="55061DB0" w14:textId="77777777" w:rsidR="004A6358" w:rsidRPr="00795B67" w:rsidRDefault="004A6358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A8E2E1" w14:textId="0FE1B449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VIII –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declaração em que se defina a parcela do preço de que trata o art. 39, II, da Lei de</w:t>
      </w:r>
      <w:r w:rsid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Condomínio e Incorporação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(art. 32, l, da Lei nº 4.591/64);</w:t>
      </w:r>
    </w:p>
    <w:p w14:paraId="1414AE47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795B67">
        <w:rPr>
          <w:rFonts w:ascii="Times New Roman" w:hAnsi="Times New Roman" w:cs="Times New Roman"/>
          <w:color w:val="FFFFFF"/>
          <w:sz w:val="24"/>
          <w:szCs w:val="24"/>
        </w:rPr>
        <w:t>223</w:t>
      </w:r>
    </w:p>
    <w:p w14:paraId="460E6C24" w14:textId="672B86B9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IX – </w:t>
      </w:r>
      <w:proofErr w:type="gramStart"/>
      <w:r w:rsidRPr="00795B67">
        <w:rPr>
          <w:rFonts w:ascii="Times New Roman" w:hAnsi="Times New Roman" w:cs="Times New Roman"/>
          <w:color w:val="000000"/>
          <w:sz w:val="24"/>
          <w:szCs w:val="24"/>
        </w:rPr>
        <w:t>certidão</w:t>
      </w:r>
      <w:proofErr w:type="gramEnd"/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instrumento público de mandato quando o incorporador não for o</w:t>
      </w:r>
      <w:r w:rsid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proprietário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. Ocorre que o proprietário outorga ao construtor, neste caso, o incorporador, poderes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para a alienação de frações ideais do terreno (art. 31, § 1º, c/c o art. 32, m, da Lei nº 4.591/64);</w:t>
      </w:r>
    </w:p>
    <w:p w14:paraId="0BDC579A" w14:textId="77777777" w:rsidR="00BB0DF0" w:rsidRPr="00795B67" w:rsidRDefault="00BB0DF0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77CDE" w14:textId="1F19741B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X – </w:t>
      </w:r>
      <w:proofErr w:type="gramStart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declaração</w:t>
      </w:r>
      <w:proofErr w:type="gramEnd"/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expressa em que se fixe se o empreendimento está ou não sujeito à prazo de carência – 180 dias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 (art. 32, n, da Lei nº 4.591/64);</w:t>
      </w:r>
    </w:p>
    <w:p w14:paraId="2E87FC63" w14:textId="77777777" w:rsidR="00BB0DF0" w:rsidRPr="00795B67" w:rsidRDefault="00BB0DF0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E17AE" w14:textId="77777777" w:rsidR="00795B67" w:rsidRPr="009511B0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11B0">
        <w:rPr>
          <w:rFonts w:ascii="Times New Roman" w:hAnsi="Times New Roman" w:cs="Times New Roman"/>
          <w:color w:val="FF0000"/>
          <w:sz w:val="24"/>
          <w:szCs w:val="24"/>
        </w:rPr>
        <w:t>XI – atestado de idoneidade financeira fornecido por estabelecimento de crédito que opere</w:t>
      </w:r>
    </w:p>
    <w:p w14:paraId="71BF4F8A" w14:textId="06823C8B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11B0">
        <w:rPr>
          <w:rFonts w:ascii="Times New Roman" w:hAnsi="Times New Roman" w:cs="Times New Roman"/>
          <w:color w:val="FF0000"/>
          <w:sz w:val="24"/>
          <w:szCs w:val="24"/>
        </w:rPr>
        <w:t>no país há mais de 05 (cinco) anos, dizendo que o incorporador possui idoneidade (art. 32, o, da Lei nº 4.591/64);</w:t>
      </w:r>
      <w:r w:rsidR="00BB0DF0">
        <w:rPr>
          <w:rFonts w:ascii="Times New Roman" w:hAnsi="Times New Roman" w:cs="Times New Roman"/>
          <w:color w:val="FF0000"/>
          <w:sz w:val="24"/>
          <w:szCs w:val="24"/>
        </w:rPr>
        <w:t xml:space="preserve"> REVOGADO pela Lei 14.382/2022;</w:t>
      </w:r>
    </w:p>
    <w:p w14:paraId="4D5950AD" w14:textId="77777777" w:rsidR="00BB0DF0" w:rsidRPr="009511B0" w:rsidRDefault="00BB0DF0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5B5F76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XII – declaração, acompanhada de plantas elucidativas, </w:t>
      </w:r>
      <w:r w:rsidRPr="009511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sobre o número de veículos que a garagem comporta e os locais destinados à guarda dos mesmos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, mencionando se as vagas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estacionamento, garagens ou boxes, estão ou não vinculados aos apartamentos (art. 32, p, da Lei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nº 4.591/64);</w:t>
      </w:r>
    </w:p>
    <w:p w14:paraId="736A154B" w14:textId="7678CED1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XIII – Anotação de Responsabilidade Técnica – ART ou Registro de Responsabilidade Técnica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– RRT, relativa ao projeto de construção;</w:t>
      </w:r>
    </w:p>
    <w:p w14:paraId="13A31D31" w14:textId="77777777" w:rsidR="00BB0DF0" w:rsidRPr="00795B67" w:rsidRDefault="00BB0DF0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FDFDF" w14:textId="73A39E9D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XIII – Anotação de Responsabilidade Técnica – ART, Termo de Responsabilidade Técnica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TRT ou Registro de Responsabilidade Técnica – RRT, relativa(o) ao projeto de construção; </w:t>
      </w:r>
      <w:r w:rsidRPr="00795B67">
        <w:rPr>
          <w:rFonts w:ascii="Times New Roman" w:hAnsi="Times New Roman" w:cs="Times New Roman"/>
          <w:color w:val="FF0000"/>
          <w:sz w:val="24"/>
          <w:szCs w:val="24"/>
        </w:rPr>
        <w:t>(Redação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FF0000"/>
          <w:sz w:val="24"/>
          <w:szCs w:val="24"/>
        </w:rPr>
        <w:t>dada pelo Provimento nº 27/20-CGJ/RS, art. 7º)</w:t>
      </w:r>
    </w:p>
    <w:p w14:paraId="6708E79E" w14:textId="77777777" w:rsidR="00BB0DF0" w:rsidRPr="00795B67" w:rsidRDefault="00BB0DF0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FC5125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 xml:space="preserve">XIV – </w:t>
      </w:r>
      <w:r w:rsidRPr="00BB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contrato-padrão (facultativo)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, que ficará arquivado na Serventia Registral, conforme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B67">
        <w:rPr>
          <w:rFonts w:ascii="Times New Roman" w:hAnsi="Times New Roman" w:cs="Times New Roman"/>
          <w:color w:val="000000"/>
          <w:sz w:val="24"/>
          <w:szCs w:val="24"/>
        </w:rPr>
        <w:t>determina o art. 67, parágrafos 3º e 4º, da Lei nº 4.591/64.</w:t>
      </w:r>
    </w:p>
    <w:p w14:paraId="612632A9" w14:textId="77777777" w:rsidR="000F5FB5" w:rsidRDefault="000F5FB5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B6337A" w14:textId="6FF33ADD" w:rsidR="00795B67" w:rsidRPr="00BB0DF0" w:rsidRDefault="00795B67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B0DF0">
        <w:rPr>
          <w:rFonts w:ascii="Times New Roman" w:hAnsi="Times New Roman" w:cs="Times New Roman"/>
          <w:color w:val="000000"/>
          <w:sz w:val="24"/>
          <w:szCs w:val="24"/>
        </w:rPr>
        <w:t>§ 1º – Os documentos serão apresentados em 02 (duas) vias, com as firmas de seus</w:t>
      </w:r>
      <w:r w:rsidR="00BB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0DF0">
        <w:rPr>
          <w:rFonts w:ascii="Times New Roman" w:hAnsi="Times New Roman" w:cs="Times New Roman"/>
          <w:color w:val="000000"/>
          <w:sz w:val="24"/>
          <w:szCs w:val="24"/>
        </w:rPr>
        <w:t>subscritores reconhecidas nos documentos de ordem particular.</w:t>
      </w:r>
    </w:p>
    <w:p w14:paraId="3AE1CC00" w14:textId="77777777" w:rsidR="00795B67" w:rsidRPr="00BB0DF0" w:rsidRDefault="00795B67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2º – A apresentação dos documentos será feita à vista dos originais, admitindo-se cópias</w:t>
      </w:r>
    </w:p>
    <w:p w14:paraId="035BFF6F" w14:textId="77777777" w:rsidR="00795B67" w:rsidRPr="00BB0DF0" w:rsidRDefault="00795B67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>reprográficas autenticadas.</w:t>
      </w:r>
    </w:p>
    <w:p w14:paraId="1F263FB1" w14:textId="63126FD2" w:rsidR="00795B67" w:rsidRPr="00BB0DF0" w:rsidRDefault="00795B67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>§ 3º – Será de 90 (noventa) dias o prazo de validade das certidões, salvo se outro prazo</w:t>
      </w:r>
      <w:r w:rsidR="00BB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0DF0">
        <w:rPr>
          <w:rFonts w:ascii="Times New Roman" w:hAnsi="Times New Roman" w:cs="Times New Roman"/>
          <w:color w:val="000000"/>
          <w:sz w:val="24"/>
          <w:szCs w:val="24"/>
        </w:rPr>
        <w:t>constar expressamente do documento, segundo norma adotada pelo órgão expedidor, exceto as fiscais, que serão por exercício.</w:t>
      </w:r>
    </w:p>
    <w:p w14:paraId="7D201353" w14:textId="4A10779E" w:rsidR="00795B67" w:rsidRPr="00BB0DF0" w:rsidRDefault="00795B67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>§ 4º – As certidões da Justiça Federal, da Justiça Estadual, da Justiça do Trabalho e do</w:t>
      </w:r>
      <w:r w:rsidR="00BB0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0DF0">
        <w:rPr>
          <w:rFonts w:ascii="Times New Roman" w:hAnsi="Times New Roman" w:cs="Times New Roman"/>
          <w:color w:val="000000"/>
          <w:sz w:val="24"/>
          <w:szCs w:val="24"/>
        </w:rPr>
        <w:t>Tabelionato de Protesto de Títulos de que trata o inciso III deverão ser extraídas no domicílio do proprietário e do incorporador, bem como na circunscrição onde se localiza o imóvel incorporado;</w:t>
      </w:r>
    </w:p>
    <w:p w14:paraId="52924EF6" w14:textId="77777777" w:rsidR="00795B67" w:rsidRPr="00BB0DF0" w:rsidRDefault="00795B67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>§ 5º – As certidões forenses abrangerão 10 (dez) anos, e as de protestos de títulos, 05 (cinco) anos.</w:t>
      </w:r>
    </w:p>
    <w:p w14:paraId="51EC1E4A" w14:textId="77777777" w:rsidR="00795B67" w:rsidRPr="00BB0DF0" w:rsidRDefault="00795B67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 xml:space="preserve">§ 6º – As certidões positivas do Distribuidor Forense serão </w:t>
      </w:r>
      <w:proofErr w:type="spellStart"/>
      <w:r w:rsidRPr="00BB0DF0">
        <w:rPr>
          <w:rFonts w:ascii="Times New Roman" w:hAnsi="Times New Roman" w:cs="Times New Roman"/>
          <w:color w:val="000000"/>
          <w:sz w:val="24"/>
          <w:szCs w:val="24"/>
        </w:rPr>
        <w:t>narratórias</w:t>
      </w:r>
      <w:proofErr w:type="spellEnd"/>
      <w:r w:rsidRPr="00BB0DF0">
        <w:rPr>
          <w:rFonts w:ascii="Times New Roman" w:hAnsi="Times New Roman" w:cs="Times New Roman"/>
          <w:color w:val="000000"/>
          <w:sz w:val="24"/>
          <w:szCs w:val="24"/>
        </w:rPr>
        <w:t xml:space="preserve"> e complementadas</w:t>
      </w:r>
    </w:p>
    <w:p w14:paraId="6A52DE70" w14:textId="77777777" w:rsidR="00795B67" w:rsidRPr="00BB0DF0" w:rsidRDefault="00795B67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>com a do juízo respectivo, a fim de possibilitar conhecer da relevância econômica da pretensão ou pertinência com o imóvel objeto da incorporação.</w:t>
      </w:r>
    </w:p>
    <w:p w14:paraId="082C5B90" w14:textId="77777777" w:rsidR="00795B67" w:rsidRPr="00BB0DF0" w:rsidRDefault="00795B67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>§ 7º – Não poderá ser aceito contrato social registrado somente no Registro de Títulos e</w:t>
      </w:r>
    </w:p>
    <w:p w14:paraId="28C153DE" w14:textId="77777777" w:rsidR="00795B67" w:rsidRPr="00BB0DF0" w:rsidRDefault="00795B67" w:rsidP="00BB0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F0">
        <w:rPr>
          <w:rFonts w:ascii="Times New Roman" w:hAnsi="Times New Roman" w:cs="Times New Roman"/>
          <w:color w:val="000000"/>
          <w:sz w:val="24"/>
          <w:szCs w:val="24"/>
        </w:rPr>
        <w:t>Documentos.</w:t>
      </w:r>
    </w:p>
    <w:p w14:paraId="1BBB3A1A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795B67">
        <w:rPr>
          <w:rFonts w:ascii="Times New Roman" w:hAnsi="Times New Roman" w:cs="Times New Roman"/>
          <w:color w:val="FFFFFF"/>
          <w:sz w:val="24"/>
          <w:szCs w:val="24"/>
        </w:rPr>
        <w:t>224</w:t>
      </w:r>
    </w:p>
    <w:p w14:paraId="78B0B1BD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§ 8º – É facultado apresentar as plantas do projeto aprovado, em cópia autenticada pelo</w:t>
      </w:r>
    </w:p>
    <w:p w14:paraId="2D9F85A4" w14:textId="74C9CD2D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profissional responsável pela obra, acompanhada de cópia de licença de construção.</w:t>
      </w:r>
    </w:p>
    <w:p w14:paraId="7CD11CF2" w14:textId="77777777" w:rsidR="00BB0DF0" w:rsidRPr="00795B67" w:rsidRDefault="00BB0DF0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6A04B" w14:textId="77777777" w:rsidR="00795B67" w:rsidRP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§ 9º – Quando a incorporadora for pessoa jurídica, as certidões forenses penais devem ser</w:t>
      </w:r>
    </w:p>
    <w:p w14:paraId="53D05488" w14:textId="7D507BCD" w:rsidR="00795B67" w:rsidRDefault="00795B67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B67">
        <w:rPr>
          <w:rFonts w:ascii="Times New Roman" w:hAnsi="Times New Roman" w:cs="Times New Roman"/>
          <w:color w:val="000000"/>
          <w:sz w:val="24"/>
          <w:szCs w:val="24"/>
        </w:rPr>
        <w:t>apresentadas também em nome dos seus administradores.</w:t>
      </w:r>
    </w:p>
    <w:p w14:paraId="13AA6C79" w14:textId="6773C3EE" w:rsidR="00BB0DF0" w:rsidRDefault="00BB0DF0" w:rsidP="0079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08017" w14:textId="73E4B31A" w:rsidR="00BB0DF0" w:rsidRDefault="00BB0DF0" w:rsidP="00BB0DF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Cartório de Registro de Imóveis de Panambi, 18/01/2023.</w:t>
      </w:r>
    </w:p>
    <w:sectPr w:rsidR="00BB0DF0" w:rsidSect="001144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67"/>
    <w:rsid w:val="00097693"/>
    <w:rsid w:val="000F5FB5"/>
    <w:rsid w:val="00114427"/>
    <w:rsid w:val="00226D55"/>
    <w:rsid w:val="004A6358"/>
    <w:rsid w:val="00532439"/>
    <w:rsid w:val="006B4158"/>
    <w:rsid w:val="00795B67"/>
    <w:rsid w:val="008A14D5"/>
    <w:rsid w:val="009511B0"/>
    <w:rsid w:val="00B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9A2E"/>
  <w15:chartTrackingRefBased/>
  <w15:docId w15:val="{B9BD25AD-003D-4979-BD2E-896CAA64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1287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4</cp:revision>
  <cp:lastPrinted>2023-01-26T12:17:00Z</cp:lastPrinted>
  <dcterms:created xsi:type="dcterms:W3CDTF">2023-01-18T12:16:00Z</dcterms:created>
  <dcterms:modified xsi:type="dcterms:W3CDTF">2023-01-26T12:52:00Z</dcterms:modified>
</cp:coreProperties>
</file>